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6A96F" w14:textId="5E83B221" w:rsidR="00FC4E6F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u w:val="single" w:color="000000"/>
        </w:rPr>
      </w:pPr>
      <w:r w:rsidRPr="00AA6B3F">
        <w:rPr>
          <w:rFonts w:ascii="Arial" w:eastAsia="Arial" w:hAnsi="Arial" w:cs="Arial"/>
          <w:b/>
          <w:u w:val="single" w:color="000000"/>
        </w:rPr>
        <w:t xml:space="preserve">Załącznik nr </w:t>
      </w:r>
      <w:r w:rsidR="004C05E4">
        <w:rPr>
          <w:rFonts w:ascii="Arial" w:eastAsia="Arial" w:hAnsi="Arial" w:cs="Arial"/>
          <w:b/>
          <w:u w:val="single" w:color="000000"/>
        </w:rPr>
        <w:t>3</w:t>
      </w:r>
      <w:r w:rsidR="00AA6B3F">
        <w:rPr>
          <w:rFonts w:ascii="Arial" w:eastAsia="Arial" w:hAnsi="Arial" w:cs="Arial"/>
          <w:b/>
          <w:u w:val="single" w:color="000000"/>
        </w:rPr>
        <w:t>.0</w:t>
      </w:r>
      <w:r w:rsidRPr="00AA6B3F">
        <w:rPr>
          <w:rFonts w:ascii="Arial" w:eastAsia="Arial" w:hAnsi="Arial" w:cs="Arial"/>
          <w:b/>
          <w:u w:val="single" w:color="000000"/>
        </w:rPr>
        <w:t xml:space="preserve"> </w:t>
      </w:r>
      <w:r w:rsidR="005727E5" w:rsidRPr="00DE4F77">
        <w:rPr>
          <w:rFonts w:ascii="Arial" w:eastAsia="Arial" w:hAnsi="Arial" w:cs="Arial"/>
          <w:b/>
          <w:u w:val="single" w:color="000000"/>
        </w:rPr>
        <w:t xml:space="preserve">do Umowy nr </w:t>
      </w:r>
      <w:r w:rsidR="005727E5" w:rsidRPr="00DE4F77">
        <w:rPr>
          <w:rFonts w:ascii="Arial" w:eastAsia="Arial" w:hAnsi="Arial" w:cs="Arial"/>
          <w:b/>
          <w:highlight w:val="yellow"/>
          <w:u w:val="single" w:color="000000"/>
        </w:rPr>
        <w:t>[…]</w:t>
      </w:r>
    </w:p>
    <w:p w14:paraId="566ED819" w14:textId="77777777" w:rsidR="00DE17FB" w:rsidRPr="00AA6B3F" w:rsidRDefault="00621030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</w:rPr>
      </w:pPr>
      <w:r w:rsidRPr="00AA6B3F">
        <w:rPr>
          <w:rFonts w:ascii="Arial" w:eastAsia="Arial" w:hAnsi="Arial" w:cs="Arial"/>
          <w:b/>
        </w:rPr>
        <w:t>L</w:t>
      </w:r>
      <w:r w:rsidR="00DE17FB" w:rsidRPr="00AA6B3F">
        <w:rPr>
          <w:rFonts w:ascii="Arial" w:eastAsia="Arial" w:hAnsi="Arial" w:cs="Arial"/>
          <w:b/>
        </w:rPr>
        <w:t>inie komunikacyjne objęte Umową</w:t>
      </w:r>
    </w:p>
    <w:p w14:paraId="75650993" w14:textId="77777777" w:rsidR="00DE17FB" w:rsidRPr="00AA6B3F" w:rsidRDefault="00DE17FB" w:rsidP="00DE17FB">
      <w:pPr>
        <w:spacing w:after="0" w:line="240" w:lineRule="auto"/>
        <w:ind w:left="-6" w:hanging="11"/>
        <w:jc w:val="center"/>
        <w:rPr>
          <w:rFonts w:ascii="Arial" w:eastAsia="Arial" w:hAnsi="Arial" w:cs="Arial"/>
          <w:b/>
          <w:sz w:val="20"/>
        </w:rPr>
      </w:pPr>
    </w:p>
    <w:tbl>
      <w:tblPr>
        <w:tblStyle w:val="TableGrid"/>
        <w:tblW w:w="13811" w:type="dxa"/>
        <w:tblInd w:w="76" w:type="dxa"/>
        <w:tblCellMar>
          <w:top w:w="74" w:type="dxa"/>
          <w:right w:w="63" w:type="dxa"/>
        </w:tblCellMar>
        <w:tblLook w:val="04A0" w:firstRow="1" w:lastRow="0" w:firstColumn="1" w:lastColumn="0" w:noHBand="0" w:noVBand="1"/>
      </w:tblPr>
      <w:tblGrid>
        <w:gridCol w:w="577"/>
        <w:gridCol w:w="1174"/>
        <w:gridCol w:w="1137"/>
        <w:gridCol w:w="1798"/>
        <w:gridCol w:w="5120"/>
        <w:gridCol w:w="4005"/>
      </w:tblGrid>
      <w:tr w:rsidR="00953960" w:rsidRPr="00AA6B3F" w14:paraId="6F7C8FF0" w14:textId="77777777" w:rsidTr="00022D3D">
        <w:trPr>
          <w:cantSplit/>
          <w:trHeight w:val="111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02D4C15" w14:textId="77777777" w:rsidR="005A5594" w:rsidRPr="00AA6B3F" w:rsidRDefault="005A5594">
            <w:pPr>
              <w:ind w:left="140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24CC88E3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Linia</w:t>
            </w:r>
          </w:p>
          <w:p w14:paraId="55AC3C56" w14:textId="77777777" w:rsidR="005A5594" w:rsidRPr="00AA6B3F" w:rsidRDefault="005A5594" w:rsidP="00BE08C4">
            <w:pPr>
              <w:ind w:left="14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Komunikacyjna</w:t>
            </w:r>
            <w:r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extDirection w:val="btLr"/>
            <w:vAlign w:val="center"/>
          </w:tcPr>
          <w:p w14:paraId="4B93A135" w14:textId="77777777" w:rsidR="005A5594" w:rsidRPr="00AA6B3F" w:rsidRDefault="005A5594" w:rsidP="00BE08C4">
            <w:pPr>
              <w:ind w:left="209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Nr linii kolejowej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99C52A8" w14:textId="77777777" w:rsidR="005A5594" w:rsidRPr="00AA6B3F" w:rsidRDefault="005A5594">
            <w:pPr>
              <w:ind w:left="127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Relacja/część relacji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7D1BE027" w14:textId="77777777" w:rsidR="005A5594" w:rsidRPr="00AA6B3F" w:rsidRDefault="005A5594">
            <w:pPr>
              <w:spacing w:after="39"/>
              <w:ind w:left="59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Obszar realizacji </w:t>
            </w:r>
          </w:p>
          <w:p w14:paraId="31733261" w14:textId="77777777" w:rsidR="005A5594" w:rsidRPr="00AA6B3F" w:rsidRDefault="005A5594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Przewozów oraz stacje pośrednie 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B60709B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Ryzyka związane z realizacją przewozów</w:t>
            </w:r>
          </w:p>
          <w:p w14:paraId="2DCCBB15" w14:textId="77777777" w:rsidR="005A5594" w:rsidRPr="00AA6B3F" w:rsidRDefault="005A5594" w:rsidP="00DE17F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1E721" w14:textId="77777777" w:rsidR="005A5594" w:rsidRPr="00AA6B3F" w:rsidRDefault="005A5594" w:rsidP="005250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hAnsi="Arial" w:cs="Arial"/>
                <w:b/>
                <w:sz w:val="16"/>
                <w:szCs w:val="16"/>
              </w:rPr>
              <w:t>Możliwe zmiany planowanej pracy eksploatacyjnej w trakcie realizacji Umowy</w:t>
            </w:r>
            <w:r w:rsidR="000F43BA" w:rsidRPr="00AA6B3F">
              <w:rPr>
                <w:rFonts w:ascii="Arial" w:hAnsi="Arial" w:cs="Arial"/>
                <w:b/>
                <w:sz w:val="16"/>
                <w:szCs w:val="16"/>
              </w:rPr>
              <w:t xml:space="preserve"> wskazane przez Zarządcę Infrastruktury</w:t>
            </w:r>
            <w:r w:rsidR="00DC1555" w:rsidRPr="00AA6B3F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953960" w:rsidRPr="00AA6B3F" w14:paraId="7BD3A8D5" w14:textId="77777777" w:rsidTr="00022D3D">
        <w:trPr>
          <w:trHeight w:val="130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D7CF" w14:textId="77777777" w:rsidR="006F3835" w:rsidRPr="00AA6B3F" w:rsidRDefault="006F3835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F025" w14:textId="77777777" w:rsidR="006F3835" w:rsidRPr="00AA6B3F" w:rsidRDefault="006F3835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B460" w14:textId="77777777" w:rsidR="006F3835" w:rsidRPr="00AA6B3F" w:rsidRDefault="006F3835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9, 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>202,</w:t>
            </w:r>
            <w:r w:rsidR="00953960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250, 2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>60.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A74E" w14:textId="77777777" w:rsidR="006F3835" w:rsidRPr="00AA6B3F" w:rsidRDefault="006F3835" w:rsidP="00DE17F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Tczew – (Gdańsk Śródmieście) – Gdańsk Główny – Gdynia Główna – Rumia – Reda - Wejherowo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52C5" w14:textId="77777777" w:rsidR="006F3835" w:rsidRPr="00AA6B3F" w:rsidRDefault="006F3835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Pszczółki, Skowarcz, Różyny, Cieplewo, Pruszcz Gdański, Gdańsk Lipce, Gdańsk Orunia, Gdańsk Śródmieście, Gdańsk Główny, Gdańsk Stocznia, Gdańsk Politechnika, Gdańsk Wrzeszcz, Gdańsk Zaspa, Gdańsk Przymorze – Uniwersytet, Gdańsk Oliwa, Gdańsk Żabianka –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AWFiS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 w:rsidR="00EC3B7E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Sopot Wyścigi, Sopot, Sopot Kamienny Potok, Gdynia Orłowo, Gdynia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Redłowo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Gdynia Wzgórze Św. Maksymiliana, Gdynia Główna, Gdynia Stocznia – Uniwersytet Morski, Gdynia Grabówek, Gdynia Leszczynki, Gdynia Chylonia, Gdynia Cisowa, Rumia Janowo, Rumia, Reda, Reda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Pieleszewo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Wejherowo Śmiechowo, Wejherowo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Nanice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Wejherowo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D3E16" w14:textId="18966ED4" w:rsidR="006F3835" w:rsidRPr="000A3AD7" w:rsidRDefault="006F3835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</w:t>
            </w:r>
            <w:r w:rsidR="00EC3B7E" w:rsidRPr="000A3AD7">
              <w:rPr>
                <w:rFonts w:ascii="Arial" w:eastAsia="Arial" w:hAnsi="Arial" w:cs="Arial"/>
                <w:sz w:val="16"/>
                <w:szCs w:val="16"/>
              </w:rPr>
              <w:t xml:space="preserve">, prace związane z poprawą dostępności do portów. </w:t>
            </w:r>
          </w:p>
        </w:tc>
      </w:tr>
      <w:tr w:rsidR="00953960" w:rsidRPr="00AA6B3F" w14:paraId="624B417B" w14:textId="77777777" w:rsidTr="00022D3D">
        <w:trPr>
          <w:trHeight w:val="130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18B6" w14:textId="6C3182EA" w:rsidR="00EC3B7E" w:rsidRPr="00AA6B3F" w:rsidRDefault="00E1142D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  <w:r w:rsidR="00EC3B7E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DFE7" w14:textId="77777777" w:rsidR="00EC3B7E" w:rsidRPr="00AA6B3F" w:rsidRDefault="00EC3B7E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6CF9" w14:textId="2DAD8CA7" w:rsidR="00EC3B7E" w:rsidRPr="00AA6B3F" w:rsidRDefault="00EC3B7E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202,</w:t>
            </w:r>
            <w:r w:rsidR="00953960" w:rsidRPr="00AA6B3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250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4DF2" w14:textId="77777777" w:rsidR="00EC3B7E" w:rsidRPr="00AA6B3F" w:rsidRDefault="00EC3B7E" w:rsidP="00DE17FB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Słupsk – Lębork – Wejherowo – Gdynia Główna/Gdańsk Główny/Gdańsk Śródmieście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0D51" w14:textId="3910E0CD" w:rsidR="00EC3B7E" w:rsidRPr="00AA6B3F" w:rsidRDefault="00EC3B7E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Słupsk, Jezierzyce Słupskie, Damnica, Strzyżyno Słupskie, Głuszyno Pomorskie, Potęgowo, Pogorzelice, Leśnice, Lębork, Lębork Mosty, Godętowo,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Bożepole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 Wielkie, Strzebielino Morskie, Luzino, Gościcino Wejherowskie, Wejherowo, Wejherowo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Nanice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Wejherowo Śmiechowo, Reda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Pieleszewo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Reda, Rumia, Rumia Janowo, Gdynia Cisowa, Gdynia Chylonia, Gdynia Leszczynki, Gdynia Grabówek, Gdynia Stocznia – Uniwersytet Morski, Gdynia Główna, Gdynia Wzgórze Św. Maksymilian</w:t>
            </w:r>
            <w:r w:rsidR="00022B33" w:rsidRPr="00AA6B3F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 Gdynia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Redłowo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, Gdynia Orłowo, Sopot Kamienny Potok, Sopot, Sopot Wyścigi, Gdańsk Żabianka –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AWFiS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Gdańsk Oliwa, Gdańsk Przymorze – Uniwersytet, Gdańsk Zaspa, Gdańsk Wrzeszcz, Gdańsk Politechnika, Gdańsk Stocznia, Gdańsk Główny, Gdańsk Śródmieście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26A316" w14:textId="77777777" w:rsidR="00EC3B7E" w:rsidRPr="000A3AD7" w:rsidRDefault="00EC3B7E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</w:t>
            </w:r>
            <w:r w:rsidR="00953960" w:rsidRPr="000A3AD7">
              <w:rPr>
                <w:rFonts w:ascii="Arial" w:eastAsia="Arial" w:hAnsi="Arial" w:cs="Arial"/>
                <w:sz w:val="16"/>
                <w:szCs w:val="16"/>
              </w:rPr>
              <w:t>, budowa PKM Południe</w:t>
            </w:r>
          </w:p>
        </w:tc>
      </w:tr>
      <w:tr w:rsidR="00953960" w:rsidRPr="00AA6B3F" w14:paraId="62D225C3" w14:textId="77777777" w:rsidTr="00022D3D">
        <w:trPr>
          <w:trHeight w:val="34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F840" w14:textId="18D0CC10" w:rsidR="00953960" w:rsidRPr="00AA6B3F" w:rsidRDefault="00E1142D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  <w:r w:rsidR="00953960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19C0" w14:textId="77777777" w:rsidR="00953960" w:rsidRPr="00AA6B3F" w:rsidRDefault="00953960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B9E9" w14:textId="57A7E1FC" w:rsidR="00953960" w:rsidRPr="00AA6B3F" w:rsidRDefault="00953960" w:rsidP="00DE17FB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204, 9, 202</w:t>
            </w:r>
            <w:r w:rsidR="00022D3D" w:rsidRPr="00AA6B3F">
              <w:rPr>
                <w:rFonts w:ascii="Arial" w:eastAsia="Arial" w:hAnsi="Arial" w:cs="Arial"/>
                <w:sz w:val="16"/>
                <w:szCs w:val="16"/>
              </w:rPr>
              <w:t>, 260.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ED7F" w14:textId="6B116E0D" w:rsidR="00953960" w:rsidRPr="00AA6B3F" w:rsidRDefault="00953960" w:rsidP="0095396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Elbląg – Malbork – Tczew – Gdańsk Główny – Gdynia Główna</w:t>
            </w:r>
          </w:p>
          <w:p w14:paraId="7AB4F068" w14:textId="77777777" w:rsidR="00953960" w:rsidRPr="00AA6B3F" w:rsidRDefault="00953960" w:rsidP="0095396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/Gdynia Chylonia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7CCBB" w14:textId="6578EC63" w:rsidR="00953960" w:rsidRPr="00AA6B3F" w:rsidRDefault="001D5937" w:rsidP="00DE17FB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Elbląg, Gronowo Elbląskie, Fiszewo, Stare Pole, Królewo Malborskie, Malbork, Malbork Kałdowo, Stogi Malborskie, Szymankowo, Lisewo, 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Pszczółki, Skowarcz, Różyny, Cieplewo, Pruszcz Gdański, Gdańsk Lipce, Gdańsk Orunia, Gdańsk Główny, Gdańsk Wrzeszcz, Gdańsk Oliwa, Sopot, Gdynia Orłowo, Gdynia Główna, Gdynia Chylonia.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5DAA8" w14:textId="10CA49EC" w:rsidR="00953960" w:rsidRPr="000A3AD7" w:rsidRDefault="001D5937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A3AD7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Południe, prace związane z poprawą dostępności do portów.</w:t>
            </w:r>
          </w:p>
        </w:tc>
      </w:tr>
      <w:tr w:rsidR="001D5937" w:rsidRPr="00AA6B3F" w14:paraId="369E694F" w14:textId="77777777" w:rsidTr="00022D3D">
        <w:trPr>
          <w:trHeight w:val="34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95AA" w14:textId="02CAD596" w:rsidR="001D5937" w:rsidRPr="00AA6B3F" w:rsidRDefault="00E1142D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  <w:r w:rsidR="001D5937" w:rsidRPr="00AA6B3F">
              <w:rPr>
                <w:rFonts w:ascii="Arial" w:eastAsia="Arial" w:hAnsi="Arial" w:cs="Arial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5CD9" w14:textId="77777777" w:rsidR="001D5937" w:rsidRPr="00AA6B3F" w:rsidRDefault="001D5937" w:rsidP="00DE17FB">
            <w:pPr>
              <w:ind w:left="61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FAC41" w14:textId="4A690ABF" w:rsidR="001D5937" w:rsidRPr="00AA6B3F" w:rsidRDefault="001D5937" w:rsidP="00DE17FB">
            <w:pPr>
              <w:ind w:left="66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353, 9, 202</w:t>
            </w:r>
            <w:r w:rsidR="00022D3D" w:rsidRPr="00AA6B3F">
              <w:rPr>
                <w:rFonts w:ascii="Arial" w:eastAsia="Arial" w:hAnsi="Arial" w:cs="Arial"/>
                <w:sz w:val="16"/>
                <w:szCs w:val="16"/>
              </w:rPr>
              <w:t>, 216, 260.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EEAA" w14:textId="3319AFC2" w:rsidR="001D5937" w:rsidRPr="00AA6B3F" w:rsidRDefault="00511736" w:rsidP="00953960">
            <w:pPr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Iława Główna –</w:t>
            </w:r>
            <w:r w:rsidR="00640E4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AA6B3F">
              <w:rPr>
                <w:rFonts w:ascii="Arial" w:eastAsia="Arial" w:hAnsi="Arial" w:cs="Arial"/>
                <w:sz w:val="16"/>
                <w:szCs w:val="16"/>
              </w:rPr>
              <w:t>Prabuty – Malbork – Tczew – Gdańsk Główny – Gdynia Główna/Gdynia Chylonia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BA4F" w14:textId="7B78738C" w:rsidR="001D5937" w:rsidRPr="00AA6B3F" w:rsidRDefault="00511736" w:rsidP="00511736">
            <w:pPr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Iława Główna, Iława Miasto, Ząbrowo, Redaki, Susz, Prabuty, Gdakowo, Mikołajki Pomorskie, Mleczewo, Dąbrówka Malborska, Gronajny, Malbork, Malbork Kałdowo, Stogi Malborskie, Szymankowo, Lisewo, 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Pszczółki, Skowarcz, Różyny, Cieplewo, Pruszcz Gdański, Gdańsk Lipce, Gdańsk Orunia, Gdańsk Główny, Gdańsk Wrzeszcz, Gdańsk Oliwa, Sopot, Gdynia Orłowo, Gdynia Główna, Gdynia Chylonia.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BF5EA3" w14:textId="77777777" w:rsidR="001D5937" w:rsidRPr="00073397" w:rsidRDefault="00511736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73397">
              <w:rPr>
                <w:rFonts w:ascii="Arial" w:eastAsia="Arial" w:hAnsi="Arial" w:cs="Arial"/>
                <w:sz w:val="16"/>
                <w:szCs w:val="16"/>
              </w:rPr>
              <w:t xml:space="preserve">Modernizacja linii kolejowej nr 353, modernizacja linii kolejowej nr 202, budowa PKM Południe, prace związane z poprawą dostępności do portów… </w:t>
            </w:r>
          </w:p>
        </w:tc>
      </w:tr>
      <w:tr w:rsidR="00511736" w:rsidRPr="00AA6B3F" w14:paraId="5B2782C4" w14:textId="77777777" w:rsidTr="00022D3D">
        <w:trPr>
          <w:trHeight w:val="34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ACA39" w14:textId="0B09F332" w:rsidR="00511736" w:rsidRPr="00AA6B3F" w:rsidRDefault="00E1142D" w:rsidP="00DE17FB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5</w:t>
            </w:r>
            <w:r w:rsidR="00511736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CD455" w14:textId="77777777" w:rsidR="00511736" w:rsidRPr="00AA6B3F" w:rsidRDefault="00511736" w:rsidP="00DE17FB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A2D0" w14:textId="6BE1D901" w:rsidR="00511736" w:rsidRPr="00AA6B3F" w:rsidRDefault="00511736" w:rsidP="00511736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131, 9, 202</w:t>
            </w:r>
            <w:r w:rsidR="00022D3D" w:rsidRPr="00AA6B3F">
              <w:rPr>
                <w:rFonts w:ascii="Arial" w:eastAsia="Arial" w:hAnsi="Arial" w:cs="Arial"/>
                <w:sz w:val="16"/>
                <w:szCs w:val="16"/>
              </w:rPr>
              <w:t>, 260.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C88D" w14:textId="21BF44E4" w:rsidR="00511736" w:rsidRPr="00AA6B3F" w:rsidRDefault="00511736" w:rsidP="0095396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Laskowice Pomorskie – Smętowo – Tczew – Gdańsk Główny – Gdynia Główna/ Gdynia Chylonia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8B89" w14:textId="41C29F1E" w:rsidR="00511736" w:rsidRPr="00AA6B3F" w:rsidRDefault="00511736" w:rsidP="0051173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 xml:space="preserve">Laskowice Pomorskie, Warlubie, Twarda Góra, Smętowo, Majewo, Morzeszczyn, Kulice Tczewskie, Pelplin, Subkowy, Subkowy Centrum, Subkowy, Czarlin, Tczew, </w:t>
            </w:r>
            <w:proofErr w:type="spellStart"/>
            <w:r w:rsidRPr="00AA6B3F">
              <w:rPr>
                <w:rFonts w:ascii="Arial" w:eastAsia="Arial" w:hAnsi="Arial" w:cs="Arial"/>
                <w:sz w:val="16"/>
                <w:szCs w:val="16"/>
              </w:rPr>
              <w:t>Miłobądz</w:t>
            </w:r>
            <w:proofErr w:type="spellEnd"/>
            <w:r w:rsidRPr="00AA6B3F">
              <w:rPr>
                <w:rFonts w:ascii="Arial" w:eastAsia="Arial" w:hAnsi="Arial" w:cs="Arial"/>
                <w:sz w:val="16"/>
                <w:szCs w:val="16"/>
              </w:rPr>
              <w:t>, Pszczółki, Skowarcz, Różyny, Cieplewo, Pruszcz Gdański, Gdańsk Lipce, Gdańsk Orunia, Gdańsk Główny, Gdańsk Wrzeszcz, Gdańsk Oliwa, Sopot, Gdynia Orłowo, Gdynia Główna, Gdynia Chylonia.</w:t>
            </w:r>
          </w:p>
        </w:tc>
        <w:tc>
          <w:tcPr>
            <w:tcW w:w="4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BD719" w14:textId="77777777" w:rsidR="00511736" w:rsidRPr="00073397" w:rsidRDefault="00511736" w:rsidP="00DE17FB">
            <w:pPr>
              <w:ind w:right="61"/>
              <w:rPr>
                <w:rFonts w:ascii="Arial" w:eastAsia="Arial" w:hAnsi="Arial" w:cs="Arial"/>
                <w:sz w:val="16"/>
                <w:szCs w:val="16"/>
              </w:rPr>
            </w:pPr>
            <w:r w:rsidRPr="00073397">
              <w:rPr>
                <w:rFonts w:ascii="Arial" w:eastAsia="Arial" w:hAnsi="Arial" w:cs="Arial"/>
                <w:sz w:val="16"/>
                <w:szCs w:val="16"/>
              </w:rPr>
              <w:t>Modernizacja linii kolejowej nr 202, budowa PKM Południe, prace związane z poprawą dostępności do portów</w:t>
            </w:r>
            <w:r w:rsidR="00CB5094" w:rsidRPr="00073397">
              <w:rPr>
                <w:rFonts w:ascii="Arial" w:eastAsia="Arial" w:hAnsi="Arial" w:cs="Arial"/>
                <w:sz w:val="16"/>
                <w:szCs w:val="16"/>
              </w:rPr>
              <w:t>…</w:t>
            </w:r>
          </w:p>
        </w:tc>
      </w:tr>
      <w:tr w:rsidR="00022D3D" w:rsidRPr="00AA6B3F" w14:paraId="779FC124" w14:textId="77777777" w:rsidTr="00022D3D">
        <w:trPr>
          <w:trHeight w:val="10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5D96" w14:textId="30468A8B" w:rsidR="00022D3D" w:rsidRPr="00AA6B3F" w:rsidRDefault="00E1142D" w:rsidP="00022D3D">
            <w:pPr>
              <w:ind w:left="140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6</w:t>
            </w:r>
            <w:r w:rsidR="00022D3D" w:rsidRPr="00AA6B3F"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FC24" w14:textId="77777777" w:rsidR="00022D3D" w:rsidRPr="00AA6B3F" w:rsidRDefault="00022D3D" w:rsidP="00022D3D">
            <w:pPr>
              <w:ind w:left="61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RPK-22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B0D8" w14:textId="77777777" w:rsidR="00022D3D" w:rsidRPr="00AA6B3F" w:rsidRDefault="00022D3D" w:rsidP="00022D3D">
            <w:pPr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405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180D" w14:textId="77777777" w:rsidR="00022D3D" w:rsidRPr="00AA6B3F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Słupsk - Ustka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6C70" w14:textId="77777777" w:rsidR="00022D3D" w:rsidRPr="00AA6B3F" w:rsidRDefault="00022D3D" w:rsidP="00022D3D">
            <w:pPr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 w:rsidRPr="00AA6B3F">
              <w:rPr>
                <w:rFonts w:ascii="Arial" w:eastAsia="Arial" w:hAnsi="Arial" w:cs="Arial"/>
                <w:sz w:val="16"/>
                <w:szCs w:val="16"/>
              </w:rPr>
              <w:t>Słupsk, Słupsk Północny, Strzelinko, Gałęzinowo, Charnowo Słupskie, Ustka, Ustka Uroczysko.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C3A2" w14:textId="77777777" w:rsidR="00022D3D" w:rsidRPr="00073397" w:rsidRDefault="00022D3D" w:rsidP="00022D3D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73397">
              <w:rPr>
                <w:rFonts w:ascii="Arial" w:eastAsia="Arial" w:hAnsi="Arial" w:cs="Arial"/>
                <w:sz w:val="16"/>
                <w:szCs w:val="16"/>
              </w:rPr>
              <w:t>Modernizacja stacji Słupsk.</w:t>
            </w:r>
            <w:bookmarkStart w:id="0" w:name="_GoBack"/>
            <w:bookmarkEnd w:id="0"/>
          </w:p>
        </w:tc>
      </w:tr>
    </w:tbl>
    <w:p w14:paraId="46C1711F" w14:textId="0F9AF98A" w:rsidR="00810BD8" w:rsidRPr="00AA6B3F" w:rsidRDefault="00810BD8" w:rsidP="00E46DE7">
      <w:pPr>
        <w:spacing w:after="241" w:line="291" w:lineRule="auto"/>
        <w:rPr>
          <w:rFonts w:ascii="Arial" w:hAnsi="Arial" w:cs="Arial"/>
        </w:rPr>
      </w:pPr>
    </w:p>
    <w:sectPr w:rsidR="00810BD8" w:rsidRPr="00AA6B3F" w:rsidSect="00DE17FB">
      <w:headerReference w:type="default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2FBAC" w14:textId="77777777" w:rsidR="00025A79" w:rsidRDefault="00025A79" w:rsidP="0028597D">
      <w:pPr>
        <w:spacing w:after="0" w:line="240" w:lineRule="auto"/>
      </w:pPr>
      <w:r>
        <w:separator/>
      </w:r>
    </w:p>
  </w:endnote>
  <w:endnote w:type="continuationSeparator" w:id="0">
    <w:p w14:paraId="78AE6962" w14:textId="77777777" w:rsidR="00025A79" w:rsidRDefault="00025A79" w:rsidP="002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80643926"/>
      <w:docPartObj>
        <w:docPartGallery w:val="Page Numbers (Bottom of Page)"/>
        <w:docPartUnique/>
      </w:docPartObj>
    </w:sdtPr>
    <w:sdtEndPr/>
    <w:sdtContent>
      <w:p w14:paraId="20EAD53A" w14:textId="4169FD25" w:rsidR="00AA6B3F" w:rsidRDefault="00AA6B3F" w:rsidP="00AA6B3F">
        <w:pPr>
          <w:pStyle w:val="Stopka"/>
          <w:jc w:val="center"/>
        </w:pPr>
        <w:r w:rsidRPr="00AA6B3F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A6B3F">
          <w:rPr>
            <w:rFonts w:ascii="Arial" w:hAnsi="Arial" w:cs="Arial"/>
            <w:sz w:val="18"/>
            <w:szCs w:val="18"/>
          </w:rPr>
          <w:instrText>PAGE    \* MERGEFORMAT</w:instrText>
        </w:r>
        <w:r w:rsidRPr="00AA6B3F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AA6B3F">
          <w:rPr>
            <w:rFonts w:ascii="Arial" w:eastAsiaTheme="majorEastAsia" w:hAnsi="Arial" w:cs="Arial"/>
            <w:sz w:val="18"/>
            <w:szCs w:val="18"/>
          </w:rPr>
          <w:t>2</w:t>
        </w:r>
        <w:r w:rsidRPr="00AA6B3F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C0E5021" w14:textId="7388B68E" w:rsidR="0028597D" w:rsidRDefault="0028597D" w:rsidP="00A755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20FC9" w14:textId="77777777" w:rsidR="00025A79" w:rsidRDefault="00025A79" w:rsidP="0028597D">
      <w:pPr>
        <w:spacing w:after="0" w:line="240" w:lineRule="auto"/>
      </w:pPr>
      <w:r>
        <w:separator/>
      </w:r>
    </w:p>
  </w:footnote>
  <w:footnote w:type="continuationSeparator" w:id="0">
    <w:p w14:paraId="2A303893" w14:textId="77777777" w:rsidR="00025A79" w:rsidRDefault="00025A79" w:rsidP="0028597D">
      <w:pPr>
        <w:spacing w:after="0" w:line="240" w:lineRule="auto"/>
      </w:pPr>
      <w:r>
        <w:continuationSeparator/>
      </w:r>
    </w:p>
  </w:footnote>
  <w:footnote w:id="1">
    <w:p w14:paraId="3199BF04" w14:textId="77777777" w:rsidR="005A5594" w:rsidRPr="00AD61BF" w:rsidRDefault="005A5594" w:rsidP="00C14B3A">
      <w:pPr>
        <w:pStyle w:val="Tekstprzypisudolnego"/>
        <w:rPr>
          <w:rFonts w:ascii="Arial" w:hAnsi="Arial" w:cs="Arial"/>
          <w:sz w:val="16"/>
          <w:szCs w:val="16"/>
        </w:rPr>
      </w:pPr>
      <w:r w:rsidRPr="00AD61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61BF">
        <w:rPr>
          <w:rFonts w:ascii="Arial" w:hAnsi="Arial" w:cs="Arial"/>
          <w:sz w:val="16"/>
          <w:szCs w:val="16"/>
        </w:rPr>
        <w:t xml:space="preserve"> Plan Zrównoważonego Rozwoju Publicznego Transportu Zbiorowego dla Województwa Pomorskiego</w:t>
      </w:r>
    </w:p>
  </w:footnote>
  <w:footnote w:id="2">
    <w:p w14:paraId="7241C7D4" w14:textId="77777777" w:rsidR="00DC1555" w:rsidRDefault="00DC15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70A9">
        <w:rPr>
          <w:rFonts w:ascii="Arial" w:hAnsi="Arial" w:cs="Arial"/>
          <w:sz w:val="16"/>
          <w:szCs w:val="16"/>
        </w:rPr>
        <w:t>Zgodnie z Regulaminem Sieci Zarządców Infrastruktury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AAB75" w14:textId="1520D6F8" w:rsidR="00AA6B3F" w:rsidRDefault="00AA6B3F" w:rsidP="00AA6B3F">
    <w:pPr>
      <w:pStyle w:val="Nagwek"/>
      <w:jc w:val="right"/>
    </w:pPr>
    <w:r>
      <w:t>Obowiązuje od 13.12.2026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9F1F8AB-2C94-46D0-9FB2-AD54D7B81A5F}"/>
  </w:docVars>
  <w:rsids>
    <w:rsidRoot w:val="002808B1"/>
    <w:rsid w:val="00022B33"/>
    <w:rsid w:val="00022D3D"/>
    <w:rsid w:val="00025A79"/>
    <w:rsid w:val="00062929"/>
    <w:rsid w:val="00073397"/>
    <w:rsid w:val="000A3AD7"/>
    <w:rsid w:val="000A3F28"/>
    <w:rsid w:val="000D45D8"/>
    <w:rsid w:val="000F43BA"/>
    <w:rsid w:val="000F4576"/>
    <w:rsid w:val="001D4886"/>
    <w:rsid w:val="001D5937"/>
    <w:rsid w:val="001E77E1"/>
    <w:rsid w:val="00204BE0"/>
    <w:rsid w:val="00276739"/>
    <w:rsid w:val="002808B1"/>
    <w:rsid w:val="0028597D"/>
    <w:rsid w:val="002D766C"/>
    <w:rsid w:val="00322230"/>
    <w:rsid w:val="003437B9"/>
    <w:rsid w:val="003D3729"/>
    <w:rsid w:val="00416442"/>
    <w:rsid w:val="00447875"/>
    <w:rsid w:val="004A7320"/>
    <w:rsid w:val="004C05E4"/>
    <w:rsid w:val="00511736"/>
    <w:rsid w:val="005250CF"/>
    <w:rsid w:val="00555DA8"/>
    <w:rsid w:val="005727E5"/>
    <w:rsid w:val="00591C68"/>
    <w:rsid w:val="005A5594"/>
    <w:rsid w:val="005C78C9"/>
    <w:rsid w:val="00621030"/>
    <w:rsid w:val="00640E4A"/>
    <w:rsid w:val="006B3BA5"/>
    <w:rsid w:val="006F3835"/>
    <w:rsid w:val="007C77C9"/>
    <w:rsid w:val="007D0843"/>
    <w:rsid w:val="00806ECE"/>
    <w:rsid w:val="00810BD8"/>
    <w:rsid w:val="00870F27"/>
    <w:rsid w:val="008753BB"/>
    <w:rsid w:val="008E13F9"/>
    <w:rsid w:val="008F39BC"/>
    <w:rsid w:val="00912E52"/>
    <w:rsid w:val="00953960"/>
    <w:rsid w:val="009572A6"/>
    <w:rsid w:val="00957407"/>
    <w:rsid w:val="00974222"/>
    <w:rsid w:val="00986E50"/>
    <w:rsid w:val="009A7FDE"/>
    <w:rsid w:val="009D0E59"/>
    <w:rsid w:val="00A029A8"/>
    <w:rsid w:val="00A63771"/>
    <w:rsid w:val="00A755F1"/>
    <w:rsid w:val="00AA6B3F"/>
    <w:rsid w:val="00AD61BF"/>
    <w:rsid w:val="00B00AF3"/>
    <w:rsid w:val="00B24772"/>
    <w:rsid w:val="00BC3D9F"/>
    <w:rsid w:val="00BE08C4"/>
    <w:rsid w:val="00BE2887"/>
    <w:rsid w:val="00C14B3A"/>
    <w:rsid w:val="00C627F1"/>
    <w:rsid w:val="00CB5094"/>
    <w:rsid w:val="00D55454"/>
    <w:rsid w:val="00D62E77"/>
    <w:rsid w:val="00D770A9"/>
    <w:rsid w:val="00DC1555"/>
    <w:rsid w:val="00DE17FB"/>
    <w:rsid w:val="00E0752C"/>
    <w:rsid w:val="00E1142D"/>
    <w:rsid w:val="00E46DE7"/>
    <w:rsid w:val="00E539C6"/>
    <w:rsid w:val="00EC3B7E"/>
    <w:rsid w:val="00EE49DB"/>
    <w:rsid w:val="00EF79B5"/>
    <w:rsid w:val="00F00550"/>
    <w:rsid w:val="00F35E8F"/>
    <w:rsid w:val="00F60735"/>
    <w:rsid w:val="00FB265F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50DF21"/>
  <w15:docId w15:val="{48BA90A1-C1F8-461F-B990-08449495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97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5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97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B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B3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B3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4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45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54"/>
    <w:rPr>
      <w:rFonts w:ascii="Segoe UI" w:eastAsia="Calibri" w:hAnsi="Segoe UI" w:cs="Segoe UI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5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55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5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1F8AB-2C94-46D0-9FB2-AD54D7B81A5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12CA6D4-ABED-4210-8369-099AFE32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Szymański</dc:creator>
  <cp:keywords/>
  <cp:lastModifiedBy>Wontka Paweł</cp:lastModifiedBy>
  <cp:revision>12</cp:revision>
  <cp:lastPrinted>2022-11-18T11:01:00Z</cp:lastPrinted>
  <dcterms:created xsi:type="dcterms:W3CDTF">2024-09-18T11:12:00Z</dcterms:created>
  <dcterms:modified xsi:type="dcterms:W3CDTF">2025-10-13T07:51:00Z</dcterms:modified>
</cp:coreProperties>
</file>